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val="0"/>
        <w:spacing w:before="226" w:beforeAutospacing="0" w:after="300" w:afterAutospacing="0" w:line="855" w:lineRule="atLeast"/>
        <w:jc w:val="center"/>
        <w:rPr>
          <w:rFonts w:hint="eastAsia" w:ascii="方正小标宋简体" w:hAnsi="黑体" w:eastAsia="方正小标宋简体" w:cs="Times New Roman"/>
          <w:b w:val="0"/>
          <w:bCs w:val="0"/>
          <w:kern w:val="2"/>
          <w:sz w:val="36"/>
          <w:szCs w:val="36"/>
        </w:rPr>
      </w:pPr>
      <w:r>
        <w:rPr>
          <w:rFonts w:ascii="方正小标宋简体" w:hAnsi="黑体" w:eastAsia="方正小标宋简体" w:cs="Times New Roman"/>
          <w:b w:val="0"/>
          <w:bCs w:val="0"/>
          <w:kern w:val="2"/>
          <w:sz w:val="36"/>
          <w:szCs w:val="36"/>
        </w:rPr>
        <w:t>2023年度国家社科基金教育学重大项目招标公告</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经全国教育科学规划领导小组批准，2023年度国家社会科学基金重大项目面向全国公开招标。现将有关事项公告如下：</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一、招标单位</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全国教育科学规划领导小组办公室</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二、招标对象</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主要包括教育领域重点研究机构、高等院校以及社科研究机构等。投标要以单位名义进行，多单位联合投标须确定一个责任单位。鼓励跨地区、跨单位联合投标，鼓励理论工作部门与实际工作部门合作开展研究。</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三、招标工作总要求</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教育学自主知识体系，着力推进知识创新、理论创新、方法创新，为党和国家工作大局服务，为繁荣发展教育科学服务。</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四、招标数量和资助强度</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2023年度共发布12个重大项目招标选题（见附件），每个招标选题原则上只确立1项中标课题。资助强度每项60万元。如获中标，将在立项两年后进行中期检查评估，对研究进展顺利、阶段性成果丰硕且后续研究中存在较大经费缺口的项目择优予以滚动资助。</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五、投标资格要求</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（一）责任单位须具备下列条件：</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1.在相关研究领域具有较强的科研力量和深厚的学术积累；</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2.设有专门负责科研管理工作的职能部门；</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3.能够为开展重大项目研究工作提供良好条件。</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（二）投标人须具备下列条件：</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1.遵守中华人民共和国宪法和法律，遵守国家社科基金和全国教育科学规划各项管理规定；在相关研究领域具有深厚的学术造诣和丰富的科研经验，社会责任感强，品行端正，学风优良；具有正高级专业技术职称或厅局级以上（含）领导职务，能够承担实质性研究工作并担负科研组织指导职责；每个投标团队首席专家只能为一人。</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在研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国家社科基金重大项目、重大研究专项项目及教育部哲学社会科学研究重大课题攻关项目的负责人，不得作为子课题负责人参与本次投标。</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六、投标课题要求</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3.投标人要熟知国内外相关领域研究前沿动态，具备扎实的研究基础和丰富的相关前期研究成果。除必要的学术史梳理或综述外，应着重阐明本课题设计相对于已有研究的独到学术价值、应用价值和社会意义。</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5.项目完成时间根据研究工作的实际需要确定，一般应在2-5年完成，以“*”标注选题研究周期为2-3年，原则上不得延期。</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6.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结项验收时须实现线上开放使用功能。</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七、投标纪律要求</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1.责任单位和投标人要加强审核，切实把好政治方向关和学术质量关。省部级管理单位要按工作程序对《投标书》、投标人及科研团队进行资格审查，合格的予以报送。</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5年内不得申报全国教育科学规划各级各类项目。</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4.投标人可提出2名以内建议回避评审专家，我办将根据评审工作实际情况予以考虑。</w:t>
      </w:r>
    </w:p>
    <w:p>
      <w:pPr>
        <w:spacing w:line="558" w:lineRule="exact"/>
        <w:ind w:firstLine="643"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b/>
          <w:bCs/>
          <w:color w:val="auto"/>
          <w:kern w:val="2"/>
          <w:sz w:val="32"/>
          <w:szCs w:val="32"/>
          <w:lang w:val="en-US" w:eastAsia="zh-CN" w:bidi="ar-SA"/>
        </w:rPr>
        <w:t>八、其他安排</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1.国家社科基金教育学重大招标项目申报采用分级审核管理制度。投标人所在单位、省部级管理单位（含各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规办）不直接受理个人申报。</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国家社科基金教育学重大招标项目网络申报系统于5月5日至6月5日开放，在此期间投标人可登录“全国教育科学规划管理平台”（https://202.205.185.227/）,以实名信息注册账号后登录系统，并按规定要求填写申报信息（已有账号者无需再次注册）。逾期系统自动关闭，不再受理申报。</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“全国教育科学规划管理平台”中的“项目申报系统”为本次申报的唯一网络平台。有关申报系统及技术问题请咨询400-800-1636，电子信箱：support@e-plugger.com。</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3.省部级管理单位网上审核提交时间为6月6日至6月12日。省部级管理单位完成本级审核及提交后，需将系统生成的本地区（本单位）项目汇总表和纸质《投标书》盖章后于6月19日之前报送至全规办，并确保数据的真实性、完整性和一致性。《投标书》采用A3或A4纸双面印制，中缝装订或胶装，一式6份（原件1份，复印件5份）。请严格按照以上时间要求填报投标材料、审核，因错过受理时间、未按要求操作系统造成的责任由相关人员自行承担。</w:t>
      </w:r>
    </w:p>
    <w:p>
      <w:pPr>
        <w:spacing w:line="558" w:lineRule="exact"/>
        <w:ind w:firstLine="640" w:firstLineChars="200"/>
        <w:rPr>
          <w:rFonts w:hint="eastAsia" w:ascii="仿宋_GB2312" w:hAnsi="楷体" w:eastAsia="仿宋_GB2312" w:cs="Times New Roman"/>
          <w:b/>
          <w:bCs/>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4.全规办对《投标书》进行资格审查，组织专家对通过资格审查的</w:t>
      </w:r>
      <w:r>
        <w:rPr>
          <w:rFonts w:hint="eastAsia" w:ascii="仿宋_GB2312" w:hAnsi="楷体" w:eastAsia="仿宋_GB2312" w:cs="Times New Roman"/>
          <w:b w:val="0"/>
          <w:bCs w:val="0"/>
          <w:color w:val="auto"/>
          <w:kern w:val="2"/>
          <w:sz w:val="32"/>
          <w:szCs w:val="32"/>
          <w:lang w:val="en-US" w:eastAsia="zh-CN" w:bidi="ar-SA"/>
        </w:rPr>
        <w:t>投标材料进行</w:t>
      </w:r>
      <w:r>
        <w:rPr>
          <w:rFonts w:hint="eastAsia" w:ascii="仿宋_GB2312" w:eastAsia="仿宋_GB2312"/>
          <w:b w:val="0"/>
          <w:bCs w:val="0"/>
          <w:sz w:val="32"/>
          <w:szCs w:val="32"/>
        </w:rPr>
        <w:t>现场</w:t>
      </w:r>
      <w:r>
        <w:rPr>
          <w:rFonts w:hint="eastAsia" w:ascii="仿宋_GB2312" w:hAnsi="楷体" w:eastAsia="仿宋_GB2312" w:cs="Times New Roman"/>
          <w:b w:val="0"/>
          <w:bCs w:val="0"/>
          <w:color w:val="auto"/>
          <w:kern w:val="2"/>
          <w:sz w:val="32"/>
          <w:szCs w:val="32"/>
          <w:lang w:val="en-US" w:eastAsia="zh-CN" w:bidi="ar-SA"/>
        </w:rPr>
        <w:t>评审，提出建议中标项目名单。</w:t>
      </w:r>
      <w:r>
        <w:rPr>
          <w:rFonts w:hint="eastAsia" w:ascii="仿宋_GB2312" w:eastAsia="仿宋_GB2312"/>
          <w:b w:val="0"/>
          <w:bCs w:val="0"/>
          <w:sz w:val="32"/>
          <w:szCs w:val="32"/>
          <w:lang w:eastAsia="zh-CN"/>
        </w:rPr>
        <w:t>投标人</w:t>
      </w:r>
      <w:r>
        <w:rPr>
          <w:rFonts w:hint="eastAsia" w:ascii="仿宋_GB2312" w:eastAsia="仿宋_GB2312"/>
          <w:b w:val="0"/>
          <w:bCs w:val="0"/>
          <w:sz w:val="32"/>
          <w:szCs w:val="32"/>
        </w:rPr>
        <w:t>需参加现场答辩，不参加答辩视为自动放弃。</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5.建议中标课题名单经全国教育科学规划领导小组审批后，在全国哲学社会科学工作办公室网站和全规办网站公示7天。公示期满，对无异议者下达立项通知书。</w:t>
      </w:r>
    </w:p>
    <w:p>
      <w:pPr>
        <w:pStyle w:val="2"/>
        <w:rPr>
          <w:rFonts w:hint="eastAsia"/>
          <w:lang w:val="en-US" w:eastAsia="zh-CN"/>
        </w:rPr>
      </w:pPr>
    </w:p>
    <w:p>
      <w:pPr>
        <w:spacing w:line="558" w:lineRule="exact"/>
        <w:ind w:firstLine="640" w:firstLineChars="200"/>
        <w:jc w:val="right"/>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全国教育科学规划领导小组办公室</w:t>
      </w:r>
    </w:p>
    <w:p>
      <w:pPr>
        <w:spacing w:line="558" w:lineRule="exact"/>
        <w:ind w:firstLine="640" w:firstLineChars="200"/>
        <w:jc w:val="right"/>
        <w:rPr>
          <w:rFonts w:hint="eastAsia" w:ascii="仿宋_GB2312" w:hAnsi="楷体" w:eastAsia="仿宋_GB2312" w:cs="Times New Roman"/>
          <w:color w:val="auto"/>
          <w:kern w:val="2"/>
          <w:sz w:val="32"/>
          <w:szCs w:val="32"/>
          <w:lang w:val="en-US" w:eastAsia="zh-CN" w:bidi="ar-SA"/>
        </w:rPr>
      </w:pPr>
      <w:r>
        <w:rPr>
          <w:rFonts w:hint="eastAsia" w:ascii="仿宋_GB2312" w:hAnsi="楷体" w:eastAsia="仿宋_GB2312" w:cs="Times New Roman"/>
          <w:color w:val="auto"/>
          <w:kern w:val="2"/>
          <w:sz w:val="32"/>
          <w:szCs w:val="32"/>
          <w:lang w:val="en-US" w:eastAsia="zh-CN" w:bidi="ar-SA"/>
        </w:rPr>
        <w:t>2023年5月5</w:t>
      </w:r>
      <w:bookmarkStart w:id="0" w:name="_GoBack"/>
      <w:bookmarkEnd w:id="0"/>
      <w:r>
        <w:rPr>
          <w:rFonts w:hint="eastAsia" w:ascii="仿宋_GB2312" w:hAnsi="楷体" w:eastAsia="仿宋_GB2312" w:cs="Times New Roman"/>
          <w:color w:val="auto"/>
          <w:kern w:val="2"/>
          <w:sz w:val="32"/>
          <w:szCs w:val="32"/>
          <w:lang w:val="en-US" w:eastAsia="zh-CN" w:bidi="ar-SA"/>
        </w:rPr>
        <w:t>日</w:t>
      </w:r>
    </w:p>
    <w:p>
      <w:pPr>
        <w:spacing w:line="558" w:lineRule="exact"/>
        <w:ind w:firstLine="640" w:firstLineChars="200"/>
        <w:rPr>
          <w:rFonts w:hint="eastAsia" w:ascii="仿宋_GB2312" w:hAnsi="楷体" w:eastAsia="仿宋_GB2312" w:cs="Times New Roman"/>
          <w:color w:val="auto"/>
          <w:kern w:val="2"/>
          <w:sz w:val="32"/>
          <w:szCs w:val="32"/>
          <w:lang w:val="en-US" w:eastAsia="zh-CN" w:bidi="ar-SA"/>
        </w:rPr>
      </w:pP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wZDI0ODAxODY5MzM4ZjBlMzc2OGZkZTYzMzNhMjEifQ=="/>
  </w:docVars>
  <w:rsids>
    <w:rsidRoot w:val="187B5DDF"/>
    <w:rsid w:val="0005519C"/>
    <w:rsid w:val="007B5BF1"/>
    <w:rsid w:val="007C2CAF"/>
    <w:rsid w:val="00B224EB"/>
    <w:rsid w:val="00B52C06"/>
    <w:rsid w:val="02B074B6"/>
    <w:rsid w:val="04633D16"/>
    <w:rsid w:val="048B5BE2"/>
    <w:rsid w:val="04DA4474"/>
    <w:rsid w:val="05570123"/>
    <w:rsid w:val="06293905"/>
    <w:rsid w:val="07100621"/>
    <w:rsid w:val="07293490"/>
    <w:rsid w:val="079254DA"/>
    <w:rsid w:val="08906102"/>
    <w:rsid w:val="096802A0"/>
    <w:rsid w:val="099263AF"/>
    <w:rsid w:val="0B4E7969"/>
    <w:rsid w:val="0B815150"/>
    <w:rsid w:val="0D597B30"/>
    <w:rsid w:val="0F056591"/>
    <w:rsid w:val="0F866524"/>
    <w:rsid w:val="10BE3E63"/>
    <w:rsid w:val="120B2110"/>
    <w:rsid w:val="1331204B"/>
    <w:rsid w:val="133B07D3"/>
    <w:rsid w:val="149756FB"/>
    <w:rsid w:val="14D603FF"/>
    <w:rsid w:val="15EA75E1"/>
    <w:rsid w:val="17D711D5"/>
    <w:rsid w:val="18051643"/>
    <w:rsid w:val="187B5DDF"/>
    <w:rsid w:val="19B412DF"/>
    <w:rsid w:val="1AB437AE"/>
    <w:rsid w:val="1AB71087"/>
    <w:rsid w:val="1B5C5D30"/>
    <w:rsid w:val="1BDE2644"/>
    <w:rsid w:val="1C6B499B"/>
    <w:rsid w:val="1CAD0FEC"/>
    <w:rsid w:val="1CB6536F"/>
    <w:rsid w:val="1D036E47"/>
    <w:rsid w:val="1D5976E8"/>
    <w:rsid w:val="1E5D0198"/>
    <w:rsid w:val="20FD6018"/>
    <w:rsid w:val="214D6B5B"/>
    <w:rsid w:val="22B27316"/>
    <w:rsid w:val="24832D6D"/>
    <w:rsid w:val="278A18D2"/>
    <w:rsid w:val="281A017F"/>
    <w:rsid w:val="2E5C4F09"/>
    <w:rsid w:val="2E940940"/>
    <w:rsid w:val="30923A9E"/>
    <w:rsid w:val="30E75A40"/>
    <w:rsid w:val="317B29C9"/>
    <w:rsid w:val="31801D4F"/>
    <w:rsid w:val="337C266D"/>
    <w:rsid w:val="38E35AD8"/>
    <w:rsid w:val="396226AE"/>
    <w:rsid w:val="3A597FF0"/>
    <w:rsid w:val="3AD1518A"/>
    <w:rsid w:val="3C252AB0"/>
    <w:rsid w:val="3C43321D"/>
    <w:rsid w:val="3D6C4847"/>
    <w:rsid w:val="3D8928C8"/>
    <w:rsid w:val="3E027FBC"/>
    <w:rsid w:val="407F58F4"/>
    <w:rsid w:val="41273B47"/>
    <w:rsid w:val="437B23A2"/>
    <w:rsid w:val="4405646E"/>
    <w:rsid w:val="443928F3"/>
    <w:rsid w:val="45AC4C19"/>
    <w:rsid w:val="46BD7176"/>
    <w:rsid w:val="476D294A"/>
    <w:rsid w:val="47EB5471"/>
    <w:rsid w:val="4BD44D46"/>
    <w:rsid w:val="4CFF2296"/>
    <w:rsid w:val="4FB76E58"/>
    <w:rsid w:val="51824B2F"/>
    <w:rsid w:val="543A1E06"/>
    <w:rsid w:val="549332C4"/>
    <w:rsid w:val="553D7702"/>
    <w:rsid w:val="574722BD"/>
    <w:rsid w:val="580D5DA1"/>
    <w:rsid w:val="58DC6554"/>
    <w:rsid w:val="593516B6"/>
    <w:rsid w:val="59B25935"/>
    <w:rsid w:val="5A84202D"/>
    <w:rsid w:val="5D050D31"/>
    <w:rsid w:val="5D876123"/>
    <w:rsid w:val="5E3478C6"/>
    <w:rsid w:val="619F14FA"/>
    <w:rsid w:val="628472D5"/>
    <w:rsid w:val="62F55E9B"/>
    <w:rsid w:val="63B93947"/>
    <w:rsid w:val="643C5726"/>
    <w:rsid w:val="68264723"/>
    <w:rsid w:val="685333BB"/>
    <w:rsid w:val="69084D05"/>
    <w:rsid w:val="69FA5E67"/>
    <w:rsid w:val="6A80346D"/>
    <w:rsid w:val="6BE8301C"/>
    <w:rsid w:val="6C2A4B84"/>
    <w:rsid w:val="6D846D63"/>
    <w:rsid w:val="6D9D09CE"/>
    <w:rsid w:val="6DD32F5E"/>
    <w:rsid w:val="6F196D90"/>
    <w:rsid w:val="718C085E"/>
    <w:rsid w:val="71DC5E53"/>
    <w:rsid w:val="73C67290"/>
    <w:rsid w:val="74EE3A66"/>
    <w:rsid w:val="753C2301"/>
    <w:rsid w:val="755625F5"/>
    <w:rsid w:val="75FF0362"/>
    <w:rsid w:val="76354A02"/>
    <w:rsid w:val="77E33291"/>
    <w:rsid w:val="780D4890"/>
    <w:rsid w:val="78B90D5A"/>
    <w:rsid w:val="78DB68A2"/>
    <w:rsid w:val="7ACF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 w:type="character" w:customStyle="1" w:styleId="13">
    <w:name w:val="页眉 字符"/>
    <w:basedOn w:val="9"/>
    <w:link w:val="6"/>
    <w:qFormat/>
    <w:uiPriority w:val="0"/>
    <w:rPr>
      <w:rFonts w:asciiTheme="minorHAnsi" w:hAnsiTheme="minorHAnsi" w:eastAsiaTheme="minorEastAsia" w:cstheme="minorBidi"/>
      <w:kern w:val="2"/>
      <w:sz w:val="18"/>
      <w:szCs w:val="18"/>
    </w:rPr>
  </w:style>
  <w:style w:type="character" w:customStyle="1" w:styleId="14">
    <w:name w:val="页脚 字符"/>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2881</Words>
  <Characters>2981</Characters>
  <Lines>21</Lines>
  <Paragraphs>6</Paragraphs>
  <TotalTime>8</TotalTime>
  <ScaleCrop>false</ScaleCrop>
  <LinksUpToDate>false</LinksUpToDate>
  <CharactersWithSpaces>2981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2023-03-08T11:55:00Z</dcterms:created>
  <dc:creator>初见</dc:creator>
  <cp:lastModifiedBy>初见</cp:lastModifiedBy>
  <cp:lastPrinted>2023-03-30T00:59:00Z</cp:lastPrinted>
  <dcterms:modified xsi:type="dcterms:W3CDTF">2023-05-04T08:32:07Z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4E091591A29B4CAB99E5F7CB7F1D97BB</vt:lpwstr>
  </property>
</Properties>
</file>